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34.png" ContentType="image/png"/>
  <Override PartName="/word/media/rId21.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simiulated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tbl>
      <w:tblPr>
        <w:tblStyle w:val="Table"/>
        <w:tblW w:type="pct" w:w="5000"/>
        <w:tblLayout w:type="fixed"/>
        <w:tblLook w:firstRow="0" w:lastRow="0" w:firstColumn="0" w:lastColumn="0" w:noHBand="0" w:noVBand="0" w:val="0000"/>
      </w:tblPr>
      <w:tblGrid>
        <w:gridCol w:w="7920"/>
      </w:tblGrid>
      <w:tr>
        <w:tc>
          <w:tcPr/>
          <w:bookmarkStart w:id="57" w:name="fig-tss"/>
          <w:p>
            <w:pPr>
              <w:pStyle w:val="Compact"/>
              <w:jc w:val="center"/>
            </w:pPr>
            <w:r>
              <w:drawing>
                <wp:inline>
                  <wp:extent cx="5334000" cy="3200400"/>
                  <wp:effectExtent b="0" l="0" r="0" t="0"/>
                  <wp:docPr descr="" title="" id="55" name="Picture"/>
                  <a:graphic>
                    <a:graphicData uri="http://schemas.openxmlformats.org/drawingml/2006/picture">
                      <pic:pic>
                        <pic:nvPicPr>
                          <pic:cNvPr descr="figures/tss_extinctions.png" id="56"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stuff… TSS scores. Link and node level turnover.</w:t>
            </w:r>
            <w:r>
              <w:t xml:space="preserve"> </w:t>
            </w:r>
            <w:r>
              <w:t xml:space="preserve">‘warm’</w:t>
            </w:r>
            <w:r>
              <w:t xml:space="preserve"> </w:t>
            </w:r>
            <w:r>
              <w:t xml:space="preserve">colours indicate worse than random. Blue equals perfect</w:t>
            </w:r>
          </w:p>
          <w:bookmarkEnd w:id="57"/>
        </w:tc>
      </w:tr>
    </w:tbl>
    <w:p>
      <w:pPr>
        <w:pStyle w:val="BodyText"/>
      </w:pPr>
      <w:r>
        <w:t xml:space="preserve">When looking at the node-level TSS scores (</w:t>
      </w:r>
      <w:hyperlink w:anchor="fig-tss">
        <w:r>
          <w:rPr>
            <w:rStyle w:val="Hyperlink"/>
          </w:rPr>
          <w:t xml:space="preserve">Figure 6</w:t>
        </w:r>
      </w:hyperlink>
      <w:r>
        <w:t xml:space="preserve"> </w:t>
      </w:r>
      <w:r>
        <w:t xml:space="preserve">panel 2) we see that in general the dignal of the extinction mechanism is maintained across the different models - this is perhaps most striking when we look at the two tiering mechanisms. However as these mechanisms are determine by the property of the node it is not surprising that we see a similar signal as the species are being removed in the exact same order. The metrics that are of most interest is those that are determined by network-driven node properties (vulnerability and generality). Here we can see some variation between the models, however on balance they still have the same general signal. The link-level TSS scores (</w:t>
      </w:r>
      <w:hyperlink w:anchor="fig-tss">
        <w:r>
          <w:rPr>
            <w:rStyle w:val="Hyperlink"/>
          </w:rPr>
          <w:t xml:space="preserve">Figure 6</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askeing here - specifically does the real and the simulated netowrk look the same. Link-level TSS is perhaps also not an appropriate approach to determine the</w:t>
      </w:r>
      <w:r>
        <w:t xml:space="preserve"> </w:t>
      </w:r>
      <w:r>
        <w:t xml:space="preserve">‘best fit’</w:t>
      </w:r>
      <w:r>
        <w:t xml:space="preserve"> </w:t>
      </w:r>
      <w:r>
        <w:t xml:space="preserve">extinction mechanism if used in isolation and we advoacte that the node-level TSS score (or alterniatvely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0" w:name="references"/>
    <w:p>
      <w:pPr>
        <w:pStyle w:val="Heading1"/>
      </w:pPr>
      <w:r>
        <w:t xml:space="preserve">References</w:t>
      </w:r>
    </w:p>
    <w:bookmarkStart w:id="129"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End w:id="129"/>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2025-11-21T10:29:05Z</dcterms:created>
  <dcterms:modified xsi:type="dcterms:W3CDTF">2025-11-21T10:29:05Z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